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75D83"/>
          <w:sz w:val="16"/>
        </w:rPr>
        <w:t>PLATFORM ENGINEERING   /   01</w:t>
      </w:r>
    </w:p>
    <w:p>
      <w:pPr>
        <w:pStyle w:val="Title"/>
        <w:shd w:fill="075D83"/>
      </w:pPr>
      <w:r>
        <w:rPr>
          <w:color w:val="FFFFFF"/>
        </w:rPr>
        <w:t>Order Status Webhook Delivery</w:t>
      </w:r>
    </w:p>
    <w:p>
      <w:pPr>
        <w:pStyle w:val="Subtitle"/>
      </w:pPr>
      <w:r>
        <w:rPr>
          <w:i/>
        </w:rPr>
        <w:t>Technical design • RFC 014 • Proposed</w:t>
      </w:r>
    </w:p>
    <w:p>
      <w:pPr/>
      <w:r>
        <w:rPr>
          <w:b w:val="0"/>
        </w:rPr>
        <w:t>Owner: Alex Rivera    Reviewers: API + Reliability    Updated: 18 June 2027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rPr>
          <w:cantSplit/>
          <w:tblHeader/>
        </w:trPr>
        <w:tc>
          <w:tcPr>
            <w:tcW w:type="dxa" w:w="3485"/>
            <w:shd w:fill="075D8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58"/>
              </w:rPr>
              <w:t>6</w:t>
            </w:r>
          </w:p>
        </w:tc>
        <w:tc>
          <w:tcPr>
            <w:tcW w:type="dxa" w:w="3485"/>
            <w:shd w:fill="075D83"/>
            <w:tcMar>
              <w:top w:w="85" w:type="dxa"/>
              <w:left w:w="85" w:type="dxa"/>
              <w:bottom w:w="85" w:type="dxa"/>
              <w:right w:w="85" w:type="dxa"/>
            </w:tcMar>
            <w:shd w:fill="B33D21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58"/>
              </w:rPr>
              <w:t>10 sec</w:t>
            </w:r>
          </w:p>
        </w:tc>
        <w:tc>
          <w:tcPr>
            <w:tcW w:type="dxa" w:w="3485"/>
            <w:shd w:fill="075D8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58"/>
              </w:rPr>
              <w:t>24 hr</w:t>
            </w:r>
          </w:p>
        </w:tc>
      </w:tr>
      <w:tr>
        <w:trPr>
          <w:cantSplit/>
        </w:trPr>
        <w:tc>
          <w:tcPr>
            <w:tcW w:type="dxa" w:w="3485"/>
            <w:shd w:fill="E7F2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attempt maximum</w:t>
            </w:r>
          </w:p>
        </w:tc>
        <w:tc>
          <w:tcPr>
            <w:tcW w:type="dxa" w:w="3485"/>
            <w:shd w:fill="E7F2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request timeout</w:t>
            </w:r>
          </w:p>
        </w:tc>
        <w:tc>
          <w:tcPr>
            <w:tcW w:type="dxa" w:w="3485"/>
            <w:shd w:fill="E7F2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retry window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shd w:fill="E7F2F4"/>
        <w:spacing w:before="120" w:after="160"/>
        <w:ind w:right="4154"/>
      </w:pPr>
      <w:r>
        <w:rPr>
          <w:b/>
          <w:color w:val="075D83"/>
          <w:sz w:val="18"/>
        </w:rPr>
        <w:t>DESIGN DECISION</w:t>
        <w:br/>
      </w:r>
      <w:r>
        <w:rPr>
          <w:b w:val="0"/>
        </w:rPr>
        <w:t xml:space="preserve">Deliver order status events asynchronously with </w:t>
      </w:r>
      <w:r>
        <w:rPr>
          <w:b/>
          <w:color w:val="075D83"/>
        </w:rPr>
        <w:t>at-least-once</w:t>
      </w:r>
      <w:r>
        <w:rPr>
          <w:b w:val="0"/>
        </w:rPr>
        <w:t xml:space="preserve"> delivery. Consumers deduplicate on event_id; the service does not promise exactly-once processing.</w:t>
      </w:r>
    </w:p>
    <w:p>
      <w:pPr>
        <w:pStyle w:val="Heading1"/>
      </w:pPr>
      <w:r>
        <w:rPr>
          <w:b w:val="0"/>
        </w:rPr>
        <w:t>Context and Boundaries</w:t>
      </w:r>
    </w:p>
    <w:p>
      <w:pPr>
        <w:ind w:right="4154"/>
      </w:pPr>
      <w:r>
        <w:rPr>
          <w:b w:val="0"/>
        </w:rPr>
        <w:t>Partners currently poll for order updates. This design adds signed event delivery to registered HTTPS endpoints. It excludes partner endpoint provisioning, historical backfills and delivery to arbitrary customer-supplied URLs.</w:t>
      </w:r>
    </w:p>
    <w:p>
      <w:pPr>
        <w:pStyle w:val="Heading1"/>
      </w:pPr>
      <w:r>
        <w:rPr>
          <w:b w:val="0"/>
        </w:rPr>
        <w:t>Delivery Path</w:t>
      </w:r>
    </w:p>
    <w:p>
      <w:pPr>
        <w:ind w:right="4154"/>
      </w:pPr>
      <w:r>
        <w:rPr>
          <w:b w:val="0"/>
        </w:rPr>
        <w:t>Order transaction → transactional outbox → delivery queue → worker → registered partner endpoint. A delivery record stores each attempt and its result.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554"/>
        <w:gridCol w:w="6900"/>
      </w:tblGrid>
      <w:tr>
        <w:trPr>
          <w:cantSplit/>
          <w:tblHeader/>
        </w:trPr>
        <w:tc>
          <w:tcPr>
            <w:tcW w:type="dxa" w:w="3554"/>
            <w:shd w:fill="075D8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Requirement</w:t>
            </w:r>
          </w:p>
        </w:tc>
        <w:tc>
          <w:tcPr>
            <w:tcW w:type="dxa" w:w="6900"/>
            <w:shd w:fill="075D8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Design response</w:t>
            </w:r>
          </w:p>
        </w:tc>
      </w:tr>
      <w:tr>
        <w:trPr>
          <w:cantSplit/>
        </w:trPr>
        <w:tc>
          <w:tcPr>
            <w:tcW w:type="dxa" w:w="3554"/>
            <w:shd w:fill="E7F2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No lost committed events</w:t>
            </w:r>
          </w:p>
        </w:tc>
        <w:tc>
          <w:tcPr>
            <w:tcW w:type="dxa" w:w="6900"/>
            <w:shd w:fill="E7F2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Write the outbox record in the order transaction</w:t>
            </w:r>
          </w:p>
        </w:tc>
      </w:tr>
      <w:tr>
        <w:trPr>
          <w:cantSplit/>
        </w:trPr>
        <w:tc>
          <w:tcPr>
            <w:tcW w:type="dxa" w:w="3554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Duplicate-safe processing</w:t>
            </w:r>
          </w:p>
        </w:tc>
        <w:tc>
          <w:tcPr>
            <w:tcW w:type="dxa" w:w="6900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Keep event_id stable across retries</w:t>
            </w:r>
          </w:p>
        </w:tc>
      </w:tr>
      <w:tr>
        <w:trPr>
          <w:cantSplit/>
        </w:trPr>
        <w:tc>
          <w:tcPr>
            <w:tcW w:type="dxa" w:w="3554"/>
            <w:shd w:fill="E7F2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Endpoint authenticity</w:t>
            </w:r>
          </w:p>
        </w:tc>
        <w:tc>
          <w:tcPr>
            <w:tcW w:type="dxa" w:w="6900"/>
            <w:shd w:fill="E7F2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Sign the raw request body with the partner secret</w:t>
            </w:r>
          </w:p>
        </w:tc>
      </w:tr>
      <w:tr>
        <w:trPr>
          <w:cantSplit/>
        </w:trPr>
        <w:tc>
          <w:tcPr>
            <w:tcW w:type="dxa" w:w="3554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Failure isolation</w:t>
            </w:r>
          </w:p>
        </w:tc>
        <w:tc>
          <w:tcPr>
            <w:tcW w:type="dxa" w:w="6900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Separate per-partner concurrency and delivery limits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pStyle w:val="Heading1"/>
      </w:pPr>
      <w:r>
        <w:rPr>
          <w:b w:val="0"/>
        </w:rPr>
        <w:t>Event Example</w:t>
      </w:r>
    </w:p>
    <w:p>
      <w:pPr>
        <w:shd w:fill="EDF2F5"/>
        <w:ind w:right="4154"/>
      </w:pPr>
      <w:r>
        <w:rPr>
          <w:rFonts w:ascii="Consolas" w:hAnsi="Consolas"/>
          <w:sz w:val="16"/>
        </w:rPr>
        <w:t>{</w:t>
        <w:br/>
        <w:t xml:space="preserve">  "event_id": "evt_demo_0042",</w:t>
        <w:br/>
        <w:t xml:space="preserve">  "type": "order.shipped",</w:t>
        <w:br/>
        <w:t xml:space="preserve">  "occurred_at": "2027-06-18T14:05:00Z",</w:t>
        <w:br/>
        <w:t xml:space="preserve">  "data": {"order_id": "ord_demo_108", "status": "shipped"}</w:t>
        <w:br/>
        <w:t>}</w:t>
      </w:r>
    </w:p>
    <w:p>
      <w:pPr>
        <w:ind w:right="4154"/>
      </w:pPr>
      <w:r>
        <w:rPr>
          <w:b w:val="0"/>
        </w:rPr>
        <w:t>The identifiers and payload are illustrative. No credentials or customer information are included.</w:t>
      </w:r>
    </w:p>
    <w:p>
      <w:r>
        <w:br w:type="page"/>
      </w:r>
    </w:p>
    <w:p>
      <w:r>
        <w:rPr>
          <w:b/>
          <w:color w:val="075D83"/>
          <w:sz w:val="16"/>
        </w:rPr>
        <w:t>PLATFORM ENGINEERING   /   02</w:t>
      </w:r>
    </w:p>
    <w:p>
      <w:pPr>
        <w:pStyle w:val="Title"/>
        <w:shd w:fill="075D83"/>
      </w:pPr>
      <w:r>
        <w:rPr>
          <w:color w:val="FFFFFF"/>
        </w:rPr>
        <w:t>Failures and Release Plan</w:t>
      </w:r>
    </w:p>
    <w:p>
      <w:pPr>
        <w:pStyle w:val="Heading2"/>
        <w:keepNext/>
      </w:pPr>
      <w:r>
        <w:t>Synthetic Delivery Outcomes</w:t>
      </w:r>
    </w:p>
    <w:p>
      <w:r>
        <w:drawing>
          <wp:inline xmlns:a="http://schemas.openxmlformats.org/drawingml/2006/main" xmlns:pic="http://schemas.openxmlformats.org/drawingml/2006/picture">
            <wp:extent cx="6080760" cy="190308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chnical-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1903081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13"/>
        <w:gridCol w:w="5018"/>
        <w:gridCol w:w="2823"/>
      </w:tblGrid>
      <w:tr>
        <w:trPr>
          <w:cantSplit/>
          <w:tblHeader/>
        </w:trPr>
        <w:tc>
          <w:tcPr>
            <w:tcW w:type="dxa" w:w="2613"/>
            <w:shd w:fill="075D8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Fixture</w:t>
            </w:r>
          </w:p>
        </w:tc>
        <w:tc>
          <w:tcPr>
            <w:tcW w:type="dxa" w:w="5018"/>
            <w:shd w:fill="075D8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Expected behavior</w:t>
            </w:r>
          </w:p>
        </w:tc>
        <w:tc>
          <w:tcPr>
            <w:tcW w:type="dxa" w:w="2823"/>
            <w:shd w:fill="075D8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Sample outcome</w:t>
            </w:r>
          </w:p>
        </w:tc>
      </w:tr>
      <w:tr>
        <w:trPr>
          <w:cantSplit/>
        </w:trPr>
        <w:tc>
          <w:tcPr>
            <w:tcW w:type="dxa" w:w="2613"/>
            <w:shd w:fill="E7F2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Duplicate event</w:t>
            </w:r>
          </w:p>
        </w:tc>
        <w:tc>
          <w:tcPr>
            <w:tcW w:type="dxa" w:w="5018"/>
            <w:shd w:fill="E7F2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Consumer deduplicates stable event_id</w:t>
            </w:r>
          </w:p>
        </w:tc>
        <w:tc>
          <w:tcPr>
            <w:tcW w:type="dxa" w:w="2823"/>
            <w:shd w:fill="E7F2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1 business action</w:t>
            </w:r>
          </w:p>
        </w:tc>
      </w:tr>
      <w:tr>
        <w:trPr>
          <w:cantSplit/>
        </w:trPr>
        <w:tc>
          <w:tcPr>
            <w:tcW w:type="dxa" w:w="2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HTTP 429</w:t>
            </w:r>
          </w:p>
        </w:tc>
        <w:tc>
          <w:tcPr>
            <w:tcW w:type="dxa" w:w="5018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Respect bounded retry schedule</w:t>
            </w:r>
          </w:p>
        </w:tc>
        <w:tc>
          <w:tcPr>
            <w:tcW w:type="dxa" w:w="282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Delivered on attempt 3</w:t>
            </w:r>
          </w:p>
        </w:tc>
      </w:tr>
      <w:tr>
        <w:trPr>
          <w:cantSplit/>
        </w:trPr>
        <w:tc>
          <w:tcPr>
            <w:tcW w:type="dxa" w:w="2613"/>
            <w:shd w:fill="E7F2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HTTP 400</w:t>
            </w:r>
          </w:p>
        </w:tc>
        <w:tc>
          <w:tcPr>
            <w:tcW w:type="dxa" w:w="5018"/>
            <w:shd w:fill="E7F2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Stop and request configuration review</w:t>
            </w:r>
          </w:p>
        </w:tc>
        <w:tc>
          <w:tcPr>
            <w:tcW w:type="dxa" w:w="2823"/>
            <w:shd w:fill="E7F2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Held</w:t>
            </w:r>
          </w:p>
        </w:tc>
      </w:tr>
      <w:tr>
        <w:trPr>
          <w:cantSplit/>
        </w:trPr>
        <w:tc>
          <w:tcPr>
            <w:tcW w:type="dxa" w:w="2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Private destination</w:t>
            </w:r>
          </w:p>
        </w:tc>
        <w:tc>
          <w:tcPr>
            <w:tcW w:type="dxa" w:w="5018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Reject before dispatch</w:t>
            </w:r>
          </w:p>
        </w:tc>
        <w:tc>
          <w:tcPr>
            <w:tcW w:type="dxa" w:w="282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Blocked</w:t>
            </w:r>
          </w:p>
        </w:tc>
      </w:tr>
      <w:tr>
        <w:trPr>
          <w:cantSplit/>
        </w:trPr>
        <w:tc>
          <w:tcPr>
            <w:tcW w:type="dxa" w:w="2613"/>
            <w:shd w:fill="E7F2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Worker restart</w:t>
            </w:r>
          </w:p>
        </w:tc>
        <w:tc>
          <w:tcPr>
            <w:tcW w:type="dxa" w:w="5018"/>
            <w:shd w:fill="E7F2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Replay durable outbox</w:t>
            </w:r>
          </w:p>
        </w:tc>
        <w:tc>
          <w:tcPr>
            <w:tcW w:type="dxa" w:w="2823"/>
            <w:shd w:fill="E7F2F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18"/>
              </w:rPr>
              <w:t>No missing event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pStyle w:val="Heading1"/>
      </w:pPr>
      <w:r>
        <w:rPr>
          <w:b w:val="0"/>
        </w:rPr>
        <w:t>Release Gate</w:t>
      </w:r>
    </w:p>
    <w:p>
      <w:pPr>
        <w:ind w:right="4154"/>
      </w:pPr>
      <w:r>
        <w:rPr>
          <w:b w:val="0"/>
        </w:rPr>
        <w:t xml:space="preserve">Replay 1,000 synthetic events. 960 succeed first time, 35 after </w:t>
      </w:r>
      <w:r>
        <w:rPr>
          <w:b/>
          <w:color w:val="075D83"/>
        </w:rPr>
        <w:t>retry</w:t>
      </w:r>
      <w:r>
        <w:rPr>
          <w:b w:val="0"/>
        </w:rPr>
        <w:t xml:space="preserve"> and 5 remain held for review: 99.5% eventually delivered in this fixture, not a production SLO.</w:t>
      </w:r>
    </w:p>
    <w:p>
      <w:pPr>
        <w:shd w:fill="E7F2F4"/>
        <w:spacing w:before="120" w:after="160"/>
        <w:ind w:right="4154"/>
      </w:pPr>
      <w:r>
        <w:rPr>
          <w:b/>
          <w:color w:val="075D83"/>
          <w:sz w:val="18"/>
        </w:rPr>
        <w:t>ROLL BACK SAFELY</w:t>
        <w:br/>
      </w:r>
      <w:r>
        <w:rPr>
          <w:b w:val="0"/>
        </w:rPr>
        <w:t>Pause new dispatch and retain the outbox and attempt history. Never log signing secrets. Expand only after a measured pilot and operational review.</w:t>
      </w:r>
    </w:p>
    <w:p>
      <w:pPr>
        <w:spacing w:before="140"/>
        <w:ind w:right="4154"/>
      </w:pPr>
      <w:r>
        <w:rPr>
          <w:i/>
          <w:color w:val="505968"/>
          <w:sz w:val="16"/>
        </w:rPr>
        <w:t>Design notes: Monospace hierarchy, event data and failure-path design. Original Dazzler template, Apache-2.0. All sample facts are fictional.</w:t>
      </w:r>
    </w:p>
    <w:sectPr w:rsidR="00FC693F" w:rsidRPr="0006063C" w:rsidSect="00034616">
      <w:footerReference w:type="default" r:id="rId9"/>
      <w:pgSz w:w="12240" w:h="15840"/>
      <w:pgMar w:top="749" w:right="893" w:bottom="749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sz w:val="16"/>
      </w:rPr>
      <w:t xml:space="preserve">FICTIONAL EXAMPLE  /  TECHNICAL   •   Dazzler   /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1720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 w:line="264" w:lineRule="auto"/>
      <w:outlineLvl w:val="0"/>
    </w:pPr>
    <w:rPr>
      <w:rFonts w:cstheme="majorBidi" w:ascii="Consolas" w:hAnsi="Consolas"/>
      <w:b/>
      <w:bCs/>
      <w:color w:val="075D8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64" w:lineRule="auto"/>
      <w:outlineLvl w:val="1"/>
    </w:pPr>
    <w:rPr>
      <w:rFonts w:cstheme="majorBidi" w:ascii="Arial" w:hAnsi="Arial"/>
      <w:b/>
      <w:bCs/>
      <w:color w:val="17203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64" w:lineRule="auto"/>
      <w:contextualSpacing/>
    </w:pPr>
    <w:rPr>
      <w:rFonts w:cstheme="majorBidi" w:ascii="Consolas" w:hAnsi="Consolas"/>
      <w:b/>
      <w:color w:val="075D83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264" w:lineRule="auto"/>
    </w:pPr>
    <w:rPr>
      <w:rFonts w:cstheme="majorBidi" w:ascii="Arial" w:hAnsi="Arial"/>
      <w:i/>
      <w:iCs/>
      <w:color w:val="17203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40" w:line="264" w:lineRule="auto"/>
      <w:contextualSpacing/>
    </w:pPr>
    <w:rPr>
      <w:rFonts w:ascii="Arial" w:hAnsi="Arial"/>
      <w:color w:val="172033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Status Webhook Delivery</dc:title>
  <dc:subject>Technical RFC with delivery guarantees, payload, failure handling, tests and rollout</dc:subject>
  <dc:creator>Dazzler / Jon Gosier</dc:creator>
  <cp:keywords/>
  <dc:description>generated by python-docx</dc:description>
  <cp:lastModifiedBy/>
  <cp:revision>1</cp:revision>
  <dcterms:created xsi:type="dcterms:W3CDTF">2026-10-06T00:00:00Z</dcterms:created>
  <dcterms:modified xsi:type="dcterms:W3CDTF">2026-10-06T00:00:00Z</dcterms:modified>
  <cp:category/>
</cp:coreProperties>
</file>