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64BCA"/>
          <w:sz w:val="16"/>
        </w:rPr>
        <w:t>DELIVERY OFFICE   /   01</w:t>
      </w:r>
    </w:p>
    <w:p>
      <w:pPr>
        <w:pStyle w:val="Title"/>
        <w:shd w:fill="164BCA"/>
      </w:pPr>
      <w:r>
        <w:rPr>
          <w:color w:val="FFFFFF"/>
        </w:rPr>
        <w:t>Launch With Confidence</w:t>
      </w:r>
    </w:p>
    <w:p>
      <w:pPr>
        <w:pStyle w:val="Subtitle"/>
      </w:pPr>
      <w:r>
        <w:rPr>
          <w:i/>
        </w:rPr>
        <w:t>Weekly delivery report</w:t>
      </w:r>
    </w:p>
    <w:p>
      <w:pPr/>
      <w:r>
        <w:rPr>
          <w:b w:val="0"/>
        </w:rPr>
        <w:t>PORTAL RELEASE / WEEK 24 / 14–18 JUNE 2027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  <w:tblHeader/>
        </w:trPr>
        <w:tc>
          <w:tcPr>
            <w:tcW w:type="dxa" w:w="3485"/>
            <w:shd w:fill="164BC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58"/>
              </w:rPr>
              <w:t>75%</w:t>
            </w:r>
          </w:p>
        </w:tc>
        <w:tc>
          <w:tcPr>
            <w:tcW w:type="dxa" w:w="3485"/>
            <w:shd w:fill="164BCA"/>
            <w:tcMar>
              <w:top w:w="85" w:type="dxa"/>
              <w:left w:w="85" w:type="dxa"/>
              <w:bottom w:w="85" w:type="dxa"/>
              <w:right w:w="85" w:type="dxa"/>
            </w:tcMar>
            <w:shd w:fill="AE391C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58"/>
              </w:rPr>
              <w:t>$18k</w:t>
            </w:r>
          </w:p>
        </w:tc>
        <w:tc>
          <w:tcPr>
            <w:tcW w:type="dxa" w:w="3485"/>
            <w:shd w:fill="164BC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58"/>
              </w:rPr>
              <w:t>24</w:t>
            </w:r>
          </w:p>
        </w:tc>
      </w:tr>
      <w:tr>
        <w:trPr>
          <w:cantSplit/>
        </w:trPr>
        <w:tc>
          <w:tcPr>
            <w:tcW w:type="dxa" w:w="3485"/>
            <w:shd w:fill="EDF2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scope complete</w:t>
            </w:r>
          </w:p>
        </w:tc>
        <w:tc>
          <w:tcPr>
            <w:tcW w:type="dxa" w:w="3485"/>
            <w:shd w:fill="EDF2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budget remaining</w:t>
            </w:r>
          </w:p>
        </w:tc>
        <w:tc>
          <w:tcPr>
            <w:tcW w:type="dxa" w:w="3485"/>
            <w:shd w:fill="EDF2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days to launch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shd w:fill="EDF2FF"/>
        <w:spacing w:before="120" w:after="160"/>
        <w:ind w:right="3854"/>
      </w:pPr>
      <w:r>
        <w:rPr>
          <w:b/>
          <w:color w:val="164BCA"/>
          <w:sz w:val="18"/>
        </w:rPr>
        <w:t>DECISION / 21 JUNE</w:t>
        <w:br/>
      </w:r>
      <w:r>
        <w:rPr>
          <w:b w:val="0"/>
        </w:rPr>
        <w:t xml:space="preserve">Approve the </w:t>
      </w:r>
      <w:r>
        <w:rPr>
          <w:b/>
          <w:color w:val="164BCA"/>
        </w:rPr>
        <w:t>20-customer pilot</w:t>
      </w:r>
      <w:r>
        <w:rPr>
          <w:b w:val="0"/>
        </w:rPr>
        <w:t xml:space="preserve">. Identity integration is three days late; a reviewed password fallback protects the </w:t>
      </w:r>
      <w:r>
        <w:rPr>
          <w:b/>
          <w:color w:val="164BCA"/>
        </w:rPr>
        <w:t>12 July launch</w:t>
      </w:r>
      <w:r>
        <w:rPr>
          <w:b w:val="0"/>
        </w:rPr>
        <w:t>.</w:t>
      </w:r>
    </w:p>
    <w:p>
      <w:pPr>
        <w:pStyle w:val="Heading2"/>
        <w:keepNext/>
      </w:pPr>
      <w:r>
        <w:t>Cumulative Accepted Deliverables</w:t>
      </w:r>
    </w:p>
    <w:p>
      <w:r>
        <w:drawing>
          <wp:inline xmlns:a="http://schemas.openxmlformats.org/drawingml/2006/main" xmlns:pic="http://schemas.openxmlformats.org/drawingml/2006/picture">
            <wp:extent cx="6080760" cy="195874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fessional-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1958744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91"/>
        <w:gridCol w:w="2927"/>
        <w:gridCol w:w="3136"/>
      </w:tblGrid>
      <w:tr>
        <w:trPr>
          <w:cantSplit/>
          <w:tblHeader/>
        </w:trPr>
        <w:tc>
          <w:tcPr>
            <w:tcW w:type="dxa" w:w="4391"/>
            <w:shd w:fill="164BC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Workstream</w:t>
            </w:r>
          </w:p>
        </w:tc>
        <w:tc>
          <w:tcPr>
            <w:tcW w:type="dxa" w:w="2927"/>
            <w:shd w:fill="164BC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Accepted / planned</w:t>
            </w:r>
          </w:p>
        </w:tc>
        <w:tc>
          <w:tcPr>
            <w:tcW w:type="dxa" w:w="3136"/>
            <w:shd w:fill="164BC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Owner</w:t>
            </w:r>
          </w:p>
        </w:tc>
      </w:tr>
      <w:tr>
        <w:trPr>
          <w:cantSplit/>
        </w:trPr>
        <w:tc>
          <w:tcPr>
            <w:tcW w:type="dxa" w:w="4391"/>
            <w:shd w:fill="EDF2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Account setup</w:t>
            </w:r>
          </w:p>
        </w:tc>
        <w:tc>
          <w:tcPr>
            <w:tcW w:type="dxa" w:w="2927"/>
            <w:shd w:fill="EDF2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6 / 6</w:t>
            </w:r>
          </w:p>
        </w:tc>
        <w:tc>
          <w:tcPr>
            <w:tcW w:type="dxa" w:w="3136"/>
            <w:shd w:fill="EDF2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Alex Rivera</w:t>
            </w:r>
          </w:p>
        </w:tc>
      </w:tr>
      <w:tr>
        <w:trPr>
          <w:cantSplit/>
        </w:trPr>
        <w:tc>
          <w:tcPr>
            <w:tcW w:type="dxa" w:w="4391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Invoice history</w:t>
            </w:r>
          </w:p>
        </w:tc>
        <w:tc>
          <w:tcPr>
            <w:tcW w:type="dxa" w:w="2927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5 / 6</w:t>
            </w:r>
          </w:p>
        </w:tc>
        <w:tc>
          <w:tcPr>
            <w:tcW w:type="dxa" w:w="313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Sam Okafor</w:t>
            </w:r>
          </w:p>
        </w:tc>
      </w:tr>
      <w:tr>
        <w:trPr>
          <w:cantSplit/>
        </w:trPr>
        <w:tc>
          <w:tcPr>
            <w:tcW w:type="dxa" w:w="4391"/>
            <w:shd w:fill="EDF2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Identity</w:t>
            </w:r>
          </w:p>
        </w:tc>
        <w:tc>
          <w:tcPr>
            <w:tcW w:type="dxa" w:w="2927"/>
            <w:shd w:fill="EDF2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3 / 6</w:t>
            </w:r>
          </w:p>
        </w:tc>
        <w:tc>
          <w:tcPr>
            <w:tcW w:type="dxa" w:w="3136"/>
            <w:shd w:fill="EDF2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Maya Chen</w:t>
            </w:r>
          </w:p>
        </w:tc>
      </w:tr>
      <w:tr>
        <w:trPr>
          <w:cantSplit/>
        </w:trPr>
        <w:tc>
          <w:tcPr>
            <w:tcW w:type="dxa" w:w="4391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Help and training</w:t>
            </w:r>
          </w:p>
        </w:tc>
        <w:tc>
          <w:tcPr>
            <w:tcW w:type="dxa" w:w="2927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4 / 6</w:t>
            </w:r>
          </w:p>
        </w:tc>
        <w:tc>
          <w:tcPr>
            <w:tcW w:type="dxa" w:w="313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Lena Ortiz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r>
        <w:br w:type="page"/>
      </w:r>
    </w:p>
    <w:p>
      <w:r>
        <w:rPr>
          <w:b/>
          <w:color w:val="164BCA"/>
          <w:sz w:val="16"/>
        </w:rPr>
        <w:t>DELIVERY OFFICE   /   02</w:t>
      </w:r>
    </w:p>
    <w:p>
      <w:pPr>
        <w:pStyle w:val="Title"/>
        <w:shd w:fill="164BCA"/>
      </w:pPr>
      <w:r>
        <w:rPr>
          <w:color w:val="FFFFFF"/>
        </w:rPr>
        <w:t>Protect the Launch Window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  <w:tblHeader/>
        </w:trPr>
        <w:tc>
          <w:tcPr>
            <w:tcW w:type="dxa" w:w="3485"/>
            <w:shd w:fill="164BC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58"/>
              </w:rPr>
              <w:t>3</w:t>
            </w:r>
          </w:p>
        </w:tc>
        <w:tc>
          <w:tcPr>
            <w:tcW w:type="dxa" w:w="3485"/>
            <w:shd w:fill="164BCA"/>
            <w:tcMar>
              <w:top w:w="85" w:type="dxa"/>
              <w:left w:w="85" w:type="dxa"/>
              <w:bottom w:w="85" w:type="dxa"/>
              <w:right w:w="85" w:type="dxa"/>
            </w:tcMar>
            <w:shd w:fill="AE391C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58"/>
              </w:rPr>
              <w:t>0</w:t>
            </w:r>
          </w:p>
        </w:tc>
        <w:tc>
          <w:tcPr>
            <w:tcW w:type="dxa" w:w="3485"/>
            <w:shd w:fill="164BC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58"/>
              </w:rPr>
              <w:t>25 Jun</w:t>
            </w:r>
          </w:p>
        </w:tc>
      </w:tr>
      <w:tr>
        <w:trPr>
          <w:cantSplit/>
        </w:trPr>
        <w:tc>
          <w:tcPr>
            <w:tcW w:type="dxa" w:w="3485"/>
            <w:shd w:fill="EDF2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tracked risks</w:t>
            </w:r>
          </w:p>
        </w:tc>
        <w:tc>
          <w:tcPr>
            <w:tcW w:type="dxa" w:w="3485"/>
            <w:shd w:fill="EDF2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new funding requested</w:t>
            </w:r>
          </w:p>
        </w:tc>
        <w:tc>
          <w:tcPr>
            <w:tcW w:type="dxa" w:w="3485"/>
            <w:shd w:fill="EDF2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pilot review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927"/>
        <w:gridCol w:w="3554"/>
        <w:gridCol w:w="3973"/>
      </w:tblGrid>
      <w:tr>
        <w:trPr>
          <w:cantSplit/>
          <w:tblHeader/>
        </w:trPr>
        <w:tc>
          <w:tcPr>
            <w:tcW w:type="dxa" w:w="2927"/>
            <w:shd w:fill="164BC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Risk / owner</w:t>
            </w:r>
          </w:p>
        </w:tc>
        <w:tc>
          <w:tcPr>
            <w:tcW w:type="dxa" w:w="3554"/>
            <w:shd w:fill="164BC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Trigger</w:t>
            </w:r>
          </w:p>
        </w:tc>
        <w:tc>
          <w:tcPr>
            <w:tcW w:type="dxa" w:w="3973"/>
            <w:shd w:fill="164BC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Response</w:t>
            </w:r>
          </w:p>
        </w:tc>
      </w:tr>
      <w:tr>
        <w:trPr>
          <w:cantSplit/>
        </w:trPr>
        <w:tc>
          <w:tcPr>
            <w:tcW w:type="dxa" w:w="2927"/>
            <w:shd w:fill="EDF2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Identity / Maya</w:t>
            </w:r>
          </w:p>
        </w:tc>
        <w:tc>
          <w:tcPr>
            <w:tcW w:type="dxa" w:w="3554"/>
            <w:shd w:fill="EDF2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Access arrives after 22 June</w:t>
            </w:r>
          </w:p>
        </w:tc>
        <w:tc>
          <w:tcPr>
            <w:tcW w:type="dxa" w:w="3973"/>
            <w:shd w:fill="EDF2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Reviewed password fallback</w:t>
            </w:r>
          </w:p>
        </w:tc>
      </w:tr>
      <w:tr>
        <w:trPr>
          <w:cantSplit/>
        </w:trPr>
        <w:tc>
          <w:tcPr>
            <w:tcW w:type="dxa" w:w="2927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Content / Lena</w:t>
            </w:r>
          </w:p>
        </w:tc>
        <w:tc>
          <w:tcPr>
            <w:tcW w:type="dxa" w:w="3554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Help copy not signed off</w:t>
            </w:r>
          </w:p>
        </w:tc>
        <w:tc>
          <w:tcPr>
            <w:tcW w:type="dxa" w:w="397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Limit pilot to reviewed flows</w:t>
            </w:r>
          </w:p>
        </w:tc>
      </w:tr>
      <w:tr>
        <w:trPr>
          <w:cantSplit/>
        </w:trPr>
        <w:tc>
          <w:tcPr>
            <w:tcW w:type="dxa" w:w="2927"/>
            <w:shd w:fill="EDF2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Support / Sam</w:t>
            </w:r>
          </w:p>
        </w:tc>
        <w:tc>
          <w:tcPr>
            <w:tcW w:type="dxa" w:w="3554"/>
            <w:shd w:fill="EDF2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More than 5 pilot incidents</w:t>
            </w:r>
          </w:p>
        </w:tc>
        <w:tc>
          <w:tcPr>
            <w:tcW w:type="dxa" w:w="3973"/>
            <w:shd w:fill="EDF2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Pause new invitations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pStyle w:val="Heading1"/>
      </w:pPr>
      <w:r>
        <w:rPr>
          <w:b w:val="0"/>
        </w:rPr>
        <w:t>What Success Looks Like</w:t>
      </w:r>
    </w:p>
    <w:p>
      <w:pPr>
        <w:ind w:right="3854"/>
      </w:pPr>
      <w:r>
        <w:rPr>
          <w:b w:val="0"/>
        </w:rPr>
        <w:t xml:space="preserve">Invite 20 customers, observe setup completion and review support handoffs. The sponsor receives a recorded </w:t>
      </w:r>
      <w:r>
        <w:rPr>
          <w:b/>
          <w:color w:val="164BCA"/>
        </w:rPr>
        <w:t>go / revise / pause</w:t>
      </w:r>
      <w:r>
        <w:rPr>
          <w:b w:val="0"/>
        </w:rPr>
        <w:t xml:space="preserve"> recommendation after the 25 June acceptance review.</w:t>
      </w:r>
    </w:p>
    <w:p>
      <w:pPr>
        <w:pStyle w:val="Heading1"/>
      </w:pPr>
      <w:r>
        <w:rPr>
          <w:b w:val="0"/>
        </w:rPr>
        <w:t>Risks and Response</w:t>
      </w:r>
    </w:p>
    <w:p>
      <w:pPr>
        <w:ind w:right="3854"/>
      </w:pPr>
      <w:r>
        <w:rPr>
          <w:b w:val="0"/>
        </w:rPr>
        <w:t>R-03 • Identity provider access. If credentials arrive after 22 June, the pilot will use password sign-in. Maya owns the fallback; security review is booked for 23 June.</w:t>
      </w:r>
    </w:p>
    <w:p>
      <w:pPr>
        <w:pStyle w:val="Heading1"/>
      </w:pPr>
      <w:r>
        <w:rPr>
          <w:b w:val="0"/>
        </w:rPr>
        <w:t>Decision for the Sponsor</w:t>
      </w:r>
    </w:p>
    <w:p>
      <w:pPr>
        <w:ind w:right="3854"/>
      </w:pPr>
      <w:r>
        <w:rPr>
          <w:b w:val="0"/>
        </w:rPr>
        <w:t xml:space="preserve">Approve the </w:t>
      </w:r>
      <w:r>
        <w:rPr>
          <w:b/>
          <w:color w:val="164BCA"/>
        </w:rPr>
        <w:t>20-customer pilot</w:t>
      </w:r>
      <w:r>
        <w:rPr>
          <w:b w:val="0"/>
        </w:rPr>
        <w:t xml:space="preserve"> with password sign-in, subject to security review. No additional budget is requested. Priya Shah to confirm by 21 June, 15:00.</w:t>
      </w:r>
    </w:p>
    <w:p>
      <w:pPr>
        <w:pStyle w:val="Heading1"/>
      </w:pPr>
      <w:r>
        <w:rPr>
          <w:b w:val="0"/>
        </w:rPr>
        <w:t>Next Week</w:t>
      </w:r>
    </w:p>
    <w:p>
      <w:pPr>
        <w:pStyle w:val="ListBullet"/>
      </w:pPr>
      <w:r>
        <w:rPr>
          <w:b w:val="0"/>
        </w:rPr>
        <w:t>Finance: approve invoice totals and download wording by 21 June.</w:t>
      </w:r>
    </w:p>
    <w:p>
      <w:pPr>
        <w:pStyle w:val="ListBullet"/>
      </w:pPr>
      <w:r>
        <w:rPr>
          <w:b w:val="0"/>
        </w:rPr>
        <w:t>Engineering: complete pilot deployment and rollback rehearsal by 24 June.</w:t>
      </w:r>
    </w:p>
    <w:p>
      <w:pPr>
        <w:pStyle w:val="ListBullet"/>
      </w:pPr>
      <w:r>
        <w:rPr>
          <w:b w:val="0"/>
        </w:rPr>
        <w:t>Customer success: confirm pilot participants and support coverage by 25 June.</w:t>
      </w:r>
    </w:p>
    <w:p>
      <w:pPr>
        <w:spacing w:before="140"/>
        <w:ind w:right="3854"/>
      </w:pPr>
      <w:r>
        <w:rPr>
          <w:i/>
          <w:color w:val="505968"/>
          <w:sz w:val="16"/>
        </w:rPr>
        <w:t>Design notes: Decision hierarchy, measured progress and owner-led action. Original Dazzler template, Apache-2.0. All sample facts are fictional.</w:t>
      </w:r>
    </w:p>
    <w:sectPr w:rsidR="00FC693F" w:rsidRPr="0006063C" w:rsidSect="00034616">
      <w:footerReference w:type="default" r:id="rId9"/>
      <w:pgSz w:w="12240" w:h="15840"/>
      <w:pgMar w:top="749" w:right="893" w:bottom="749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sz w:val="16"/>
      </w:rPr>
      <w:t xml:space="preserve">FICTIONAL EXAMPLE  /  PROFESSIONAL   •   Dazzler   /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1720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40" w:line="264" w:lineRule="auto"/>
      <w:outlineLvl w:val="0"/>
    </w:pPr>
    <w:rPr>
      <w:rFonts w:cstheme="majorBidi" w:ascii="Arial" w:hAnsi="Arial"/>
      <w:b/>
      <w:bCs/>
      <w:color w:val="164BCA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64" w:lineRule="auto"/>
      <w:outlineLvl w:val="1"/>
    </w:pPr>
    <w:rPr>
      <w:rFonts w:cstheme="majorBidi" w:ascii="Arial" w:hAnsi="Arial"/>
      <w:b/>
      <w:bCs/>
      <w:color w:val="17203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64" w:lineRule="auto"/>
      <w:contextualSpacing/>
    </w:pPr>
    <w:rPr>
      <w:rFonts w:cstheme="majorBidi" w:ascii="Arial" w:hAnsi="Arial"/>
      <w:b/>
      <w:color w:val="164BCA"/>
      <w:spacing w:val="5"/>
      <w:kern w:val="28"/>
      <w:sz w:val="7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 w:line="264" w:lineRule="auto"/>
    </w:pPr>
    <w:rPr>
      <w:rFonts w:cstheme="majorBidi" w:ascii="Arial" w:hAnsi="Arial"/>
      <w:i/>
      <w:iCs/>
      <w:color w:val="172033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40" w:line="264" w:lineRule="auto"/>
      <w:contextualSpacing/>
    </w:pPr>
    <w:rPr>
      <w:rFonts w:ascii="Arial" w:hAnsi="Arial"/>
      <w:color w:val="172033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Portal Launch</dc:title>
  <dc:subject>Weekly executive status report with decision, milestones, risks and ownership</dc:subject>
  <dc:creator>Dazzler / Jon Gosier</dc:creator>
  <cp:keywords/>
  <dc:description>generated by python-docx</dc:description>
  <cp:lastModifiedBy/>
  <cp:revision>1</cp:revision>
  <dcterms:created xsi:type="dcterms:W3CDTF">2026-10-06T00:00:00Z</dcterms:created>
  <dcterms:modified xsi:type="dcterms:W3CDTF">2026-10-06T00:00:00Z</dcterms:modified>
  <cp:category/>
</cp:coreProperties>
</file>