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C36B5"/>
          <w:sz w:val="16"/>
        </w:rPr>
        <w:t>NORTHSTAR DESIGN • PROPOSAL 027   /   01</w:t>
      </w:r>
    </w:p>
    <w:p>
      <w:pPr>
        <w:pStyle w:val="Title"/>
        <w:shd w:fill="3C36B5"/>
      </w:pPr>
      <w:r>
        <w:rPr>
          <w:color w:val="FFFFFF"/>
        </w:rPr>
        <w:t>Customer Onboarding Redesign</w:t>
      </w:r>
    </w:p>
    <w:p>
      <w:pPr>
        <w:pStyle w:val="Subtitle"/>
      </w:pPr>
      <w:r>
        <w:rPr>
          <w:i/>
        </w:rPr>
        <w:t>Proposal for Alder Studio</w:t>
      </w:r>
    </w:p>
    <w:p>
      <w:pPr>
        <w:ind w:right="4154"/>
      </w:pPr>
      <w:r>
        <w:rPr>
          <w:b w:val="0"/>
        </w:rPr>
        <w:t>Prepared for Alder Studio     •     Prepared by Northstar Design</w:t>
        <w:br/>
        <w:t>Issued 18 June 2027     •     Proposal valid through 2 July 2027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  <w:tblHeader/>
        </w:trPr>
        <w:tc>
          <w:tcPr>
            <w:tcW w:type="dxa" w:w="3485"/>
            <w:shd w:fill="3C36B5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4 weeks</w:t>
            </w:r>
          </w:p>
        </w:tc>
        <w:tc>
          <w:tcPr>
            <w:tcW w:type="dxa" w:w="3485"/>
            <w:shd w:fill="3C36B5"/>
            <w:tcMar>
              <w:top w:w="85" w:type="dxa"/>
              <w:left w:w="85" w:type="dxa"/>
              <w:bottom w:w="85" w:type="dxa"/>
              <w:right w:w="85" w:type="dxa"/>
            </w:tcMar>
            <w:shd w:fill="AA352B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6 screens</w:t>
            </w:r>
          </w:p>
        </w:tc>
        <w:tc>
          <w:tcPr>
            <w:tcW w:type="dxa" w:w="3485"/>
            <w:shd w:fill="3C36B5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$12,000</w:t>
            </w:r>
          </w:p>
        </w:tc>
      </w:tr>
      <w:tr>
        <w:trPr>
          <w:cantSplit/>
        </w:trPr>
        <w:tc>
          <w:tcPr>
            <w:tcW w:type="dxa" w:w="3485"/>
            <w:shd w:fill="EEEC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engagement</w:t>
            </w:r>
          </w:p>
        </w:tc>
        <w:tc>
          <w:tcPr>
            <w:tcW w:type="dxa" w:w="3485"/>
            <w:shd w:fill="EEEC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annotated prototype</w:t>
            </w:r>
          </w:p>
        </w:tc>
        <w:tc>
          <w:tcPr>
            <w:tcW w:type="dxa" w:w="3485"/>
            <w:shd w:fill="EEEC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fixed sample fee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hd w:fill="EEECFA"/>
        <w:spacing w:before="120" w:after="160"/>
        <w:ind w:right="4154"/>
      </w:pPr>
      <w:r>
        <w:rPr>
          <w:b/>
          <w:color w:val="3C36B5"/>
          <w:sz w:val="18"/>
        </w:rPr>
        <w:t>THE OUTCOME</w:t>
        <w:br/>
      </w:r>
      <w:r>
        <w:rPr>
          <w:b w:val="0"/>
        </w:rPr>
        <w:t>A clearer first-week experience: one welcome journey, one account checklist and fewer handoffs between sales and customer success.</w:t>
      </w:r>
    </w:p>
    <w:p>
      <w:pPr>
        <w:pStyle w:val="Heading1"/>
      </w:pPr>
      <w:r>
        <w:rPr>
          <w:b w:val="0"/>
        </w:rPr>
        <w:t>What We Heard</w:t>
      </w:r>
    </w:p>
    <w:p>
      <w:pPr>
        <w:ind w:right="4154"/>
      </w:pPr>
      <w:r>
        <w:rPr>
          <w:b w:val="0"/>
        </w:rPr>
        <w:t>New customers receive setup instructions in three separate emails. The proposed work consolidates those steps, clarifies ownership and gives the service team a reusable launch checklist.</w:t>
      </w:r>
    </w:p>
    <w:p>
      <w:pPr>
        <w:pStyle w:val="Heading1"/>
      </w:pPr>
      <w:r>
        <w:rPr>
          <w:b w:val="0"/>
        </w:rPr>
        <w:t>Scope and Delivery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82"/>
        <w:gridCol w:w="6377"/>
        <w:gridCol w:w="2195"/>
      </w:tblGrid>
      <w:tr>
        <w:trPr>
          <w:cantSplit/>
          <w:tblHeader/>
        </w:trPr>
        <w:tc>
          <w:tcPr>
            <w:tcW w:type="dxa" w:w="1882"/>
            <w:shd w:fill="3C36B5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Phase</w:t>
            </w:r>
          </w:p>
        </w:tc>
        <w:tc>
          <w:tcPr>
            <w:tcW w:type="dxa" w:w="6377"/>
            <w:shd w:fill="3C36B5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Deliverables</w:t>
            </w:r>
          </w:p>
        </w:tc>
        <w:tc>
          <w:tcPr>
            <w:tcW w:type="dxa" w:w="2195"/>
            <w:shd w:fill="3C36B5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Schedule</w:t>
            </w:r>
          </w:p>
        </w:tc>
      </w:tr>
      <w:tr>
        <w:trPr>
          <w:cantSplit/>
        </w:trPr>
        <w:tc>
          <w:tcPr>
            <w:tcW w:type="dxa" w:w="1882"/>
            <w:shd w:fill="EEEC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Discover</w:t>
            </w:r>
          </w:p>
        </w:tc>
        <w:tc>
          <w:tcPr>
            <w:tcW w:type="dxa" w:w="6377"/>
            <w:shd w:fill="EEEC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Five staff interviews; journey map; agreed problem statement</w:t>
            </w:r>
          </w:p>
        </w:tc>
        <w:tc>
          <w:tcPr>
            <w:tcW w:type="dxa" w:w="2195"/>
            <w:shd w:fill="EEEC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Week 1</w:t>
            </w:r>
          </w:p>
        </w:tc>
      </w:tr>
      <w:tr>
        <w:trPr>
          <w:cantSplit/>
        </w:trPr>
        <w:tc>
          <w:tcPr>
            <w:tcW w:type="dxa" w:w="18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Design</w:t>
            </w:r>
          </w:p>
        </w:tc>
        <w:tc>
          <w:tcPr>
            <w:tcW w:type="dxa" w:w="6377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Welcome flow; six screen designs; email copy outline</w:t>
            </w:r>
          </w:p>
        </w:tc>
        <w:tc>
          <w:tcPr>
            <w:tcW w:type="dxa" w:w="219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Weeks 2–3</w:t>
            </w:r>
          </w:p>
        </w:tc>
      </w:tr>
      <w:tr>
        <w:trPr>
          <w:cantSplit/>
        </w:trPr>
        <w:tc>
          <w:tcPr>
            <w:tcW w:type="dxa" w:w="1882"/>
            <w:shd w:fill="EEEC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Handover</w:t>
            </w:r>
          </w:p>
        </w:tc>
        <w:tc>
          <w:tcPr>
            <w:tcW w:type="dxa" w:w="6377"/>
            <w:shd w:fill="EEEC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Annotated prototype; component notes; two training sessions</w:t>
            </w:r>
          </w:p>
        </w:tc>
        <w:tc>
          <w:tcPr>
            <w:tcW w:type="dxa" w:w="2195"/>
            <w:shd w:fill="EEEC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Week 4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How We Will Work</w:t>
      </w:r>
    </w:p>
    <w:p>
      <w:pPr>
        <w:pStyle w:val="ListBullet"/>
      </w:pPr>
      <w:r>
        <w:rPr>
          <w:b w:val="0"/>
        </w:rPr>
        <w:t>One 30-minute review each Tuesday, with a named client decision-maker.</w:t>
      </w:r>
    </w:p>
    <w:p>
      <w:pPr>
        <w:pStyle w:val="ListBullet"/>
      </w:pPr>
      <w:r>
        <w:rPr>
          <w:b w:val="0"/>
        </w:rPr>
        <w:t>Two consolidated feedback rounds on the prototype.</w:t>
      </w:r>
    </w:p>
    <w:p>
      <w:pPr>
        <w:pStyle w:val="ListBullet"/>
      </w:pPr>
      <w:r>
        <w:rPr>
          <w:b w:val="0"/>
        </w:rPr>
        <w:t>Shared decision log and weekly written delivery update.</w:t>
      </w:r>
    </w:p>
    <w:p>
      <w:pPr>
        <w:pStyle w:val="Heading1"/>
      </w:pPr>
      <w:r>
        <w:rPr>
          <w:b w:val="0"/>
        </w:rPr>
        <w:t>Outside This Scope</w:t>
      </w:r>
    </w:p>
    <w:p>
      <w:pPr>
        <w:ind w:right="4154"/>
      </w:pPr>
      <w:r>
        <w:rPr>
          <w:b w:val="0"/>
        </w:rPr>
        <w:t>Production code, system migration, translation and new brand identity work are excluded. Any added scope requires a written change agreement.</w:t>
      </w:r>
    </w:p>
    <w:p>
      <w:r>
        <w:br w:type="page"/>
      </w:r>
    </w:p>
    <w:p>
      <w:r>
        <w:rPr>
          <w:b/>
          <w:color w:val="3C36B5"/>
          <w:sz w:val="16"/>
        </w:rPr>
        <w:t>NORTHSTAR DESIGN • PROPOSAL 027   /   02</w:t>
      </w:r>
    </w:p>
    <w:p>
      <w:pPr>
        <w:pStyle w:val="Title"/>
        <w:shd w:fill="3C36B5"/>
      </w:pPr>
      <w:r>
        <w:rPr>
          <w:color w:val="FFFFFF"/>
        </w:rPr>
        <w:t>Investment and Approval</w:t>
      </w:r>
    </w:p>
    <w:p>
      <w:pPr>
        <w:pStyle w:val="Heading2"/>
        <w:keepNext/>
      </w:pPr>
      <w:r>
        <w:t>Payment Follows Delivery</w:t>
      </w:r>
    </w:p>
    <w:p>
      <w:r>
        <w:drawing>
          <wp:inline xmlns:a="http://schemas.openxmlformats.org/drawingml/2006/main" xmlns:pic="http://schemas.openxmlformats.org/drawingml/2006/picture">
            <wp:extent cx="6080760" cy="19030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siness-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1903081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527"/>
        <w:gridCol w:w="2927"/>
      </w:tblGrid>
      <w:tr>
        <w:trPr>
          <w:cantSplit/>
          <w:tblHeader/>
        </w:trPr>
        <w:tc>
          <w:tcPr>
            <w:tcW w:type="dxa" w:w="7527"/>
            <w:shd w:fill="3C36B5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Work package</w:t>
            </w:r>
          </w:p>
        </w:tc>
        <w:tc>
          <w:tcPr>
            <w:tcW w:type="dxa" w:w="2927"/>
            <w:shd w:fill="3C36B5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Fee in USD</w:t>
            </w:r>
          </w:p>
        </w:tc>
      </w:tr>
      <w:tr>
        <w:trPr>
          <w:cantSplit/>
        </w:trPr>
        <w:tc>
          <w:tcPr>
            <w:tcW w:type="dxa" w:w="7527"/>
            <w:shd w:fill="EEEC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Research and journey mapping</w:t>
            </w:r>
          </w:p>
        </w:tc>
        <w:tc>
          <w:tcPr>
            <w:tcW w:type="dxa" w:w="2927"/>
            <w:shd w:fill="EEEC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$3,000</w:t>
            </w:r>
          </w:p>
        </w:tc>
      </w:tr>
      <w:tr>
        <w:trPr>
          <w:cantSplit/>
        </w:trPr>
        <w:tc>
          <w:tcPr>
            <w:tcW w:type="dxa" w:w="7527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Experience design and prototype</w:t>
            </w:r>
          </w:p>
        </w:tc>
        <w:tc>
          <w:tcPr>
            <w:tcW w:type="dxa" w:w="2927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$7,500</w:t>
            </w:r>
          </w:p>
        </w:tc>
      </w:tr>
      <w:tr>
        <w:trPr>
          <w:cantSplit/>
        </w:trPr>
        <w:tc>
          <w:tcPr>
            <w:tcW w:type="dxa" w:w="7527"/>
            <w:shd w:fill="EEEC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Handover and training</w:t>
            </w:r>
          </w:p>
        </w:tc>
        <w:tc>
          <w:tcPr>
            <w:tcW w:type="dxa" w:w="2927"/>
            <w:shd w:fill="EEEC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$1,500</w:t>
            </w:r>
          </w:p>
        </w:tc>
      </w:tr>
      <w:tr>
        <w:trPr>
          <w:cantSplit/>
        </w:trPr>
        <w:tc>
          <w:tcPr>
            <w:tcW w:type="dxa" w:w="7527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Total project fee</w:t>
            </w:r>
          </w:p>
        </w:tc>
        <w:tc>
          <w:tcPr>
            <w:tcW w:type="dxa" w:w="2927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$12,000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Payment Schedule</w:t>
      </w:r>
    </w:p>
    <w:p>
      <w:pPr>
        <w:ind w:right="4154"/>
      </w:pPr>
      <w:r>
        <w:rPr>
          <w:b w:val="0"/>
        </w:rPr>
        <w:t>40% at kickoff ($4,800), 40% at prototype review ($4,800), and 20% at handover ($2,400). This illustrative price excludes applicable taxes and third-party expenses.</w:t>
      </w:r>
    </w:p>
    <w:p>
      <w:pPr>
        <w:pStyle w:val="Heading1"/>
      </w:pPr>
      <w:r>
        <w:rPr>
          <w:b w:val="0"/>
        </w:rPr>
        <w:t>Client Responsibilities</w:t>
      </w:r>
    </w:p>
    <w:p>
      <w:pPr>
        <w:pStyle w:val="ListBullet"/>
      </w:pPr>
      <w:r>
        <w:rPr>
          <w:b w:val="0"/>
        </w:rPr>
        <w:t>Provide current onboarding material and access to five interview participants.</w:t>
      </w:r>
    </w:p>
    <w:p>
      <w:pPr>
        <w:pStyle w:val="ListBullet"/>
      </w:pPr>
      <w:r>
        <w:rPr>
          <w:b w:val="0"/>
        </w:rPr>
        <w:t>Return consolidated feedback within two working days.</w:t>
      </w:r>
    </w:p>
    <w:p>
      <w:pPr>
        <w:pStyle w:val="ListBullet"/>
      </w:pPr>
      <w:r>
        <w:rPr>
          <w:b w:val="0"/>
        </w:rPr>
        <w:t>Confirm content accuracy and nominate an approver before kickoff.</w:t>
      </w:r>
    </w:p>
    <w:p>
      <w:pPr>
        <w:pStyle w:val="Heading1"/>
      </w:pPr>
      <w:r>
        <w:rPr>
          <w:b w:val="0"/>
        </w:rPr>
      </w:r>
      <w:r>
        <w:rPr>
          <w:b/>
          <w:color w:val="3C36B5"/>
        </w:rPr>
        <w:t>Acceptance Criteria</w:t>
      </w:r>
      <w:r>
        <w:rPr>
          <w:b w:val="0"/>
        </w:rPr>
      </w:r>
    </w:p>
    <w:p>
      <w:pPr>
        <w:ind w:right="4154"/>
      </w:pPr>
      <w:r>
        <w:rPr>
          <w:b w:val="0"/>
        </w:rPr>
        <w:t>Acceptance covers six annotated screens, the welcome email outline, a working prototype and two team sessions. The lead records acceptance or specific scope-related corrections.</w:t>
      </w:r>
    </w:p>
    <w:p>
      <w:pPr>
        <w:pStyle w:val="Heading1"/>
      </w:pPr>
      <w:r>
        <w:rPr>
          <w:b w:val="0"/>
        </w:rPr>
        <w:t>The Decision</w:t>
      </w:r>
    </w:p>
    <w:p>
      <w:pPr>
        <w:ind w:right="4154"/>
      </w:pPr>
      <w:r>
        <w:rPr>
          <w:b w:val="0"/>
        </w:rPr>
        <w:t>Alder Studio sponsor Priya Shah and Northstar lead Maya Chen review scope on 25 June. Proposed kickoff: 5 July. Acceptance is a recorded review of the agreed deliverables, not an automatic consequence of payment.</w:t>
      </w:r>
    </w:p>
    <w:p>
      <w:pPr>
        <w:spacing w:before="140"/>
        <w:ind w:right="4154"/>
      </w:pPr>
      <w:r>
        <w:rPr>
          <w:i/>
          <w:color w:val="505968"/>
          <w:sz w:val="16"/>
        </w:rPr>
        <w:t>Design notes: Scope narrative, pricing visualization and acceptance criteria. Original Dazzler template, Apache-2.0. All sample facts are fictional.</w:t>
      </w:r>
    </w:p>
    <w:sectPr w:rsidR="00FC693F" w:rsidRPr="0006063C" w:rsidSect="00034616">
      <w:footerReference w:type="default" r:id="rId9"/>
      <w:pgSz w:w="12240" w:h="15840"/>
      <w:pgMar w:top="749" w:right="893" w:bottom="749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sz w:val="16"/>
      </w:rPr>
      <w:t xml:space="preserve">FICTIONAL EXAMPLE  /  BUSINESS   •   Dazzler   /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1720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64" w:lineRule="auto"/>
      <w:outlineLvl w:val="0"/>
    </w:pPr>
    <w:rPr>
      <w:rFonts w:cstheme="majorBidi" w:ascii="Arial" w:hAnsi="Arial"/>
      <w:b/>
      <w:bCs/>
      <w:color w:val="3C36B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4" w:lineRule="auto"/>
      <w:outlineLvl w:val="1"/>
    </w:pPr>
    <w:rPr>
      <w:rFonts w:cstheme="majorBidi" w:ascii="Arial" w:hAnsi="Arial"/>
      <w:b/>
      <w:bCs/>
      <w:color w:val="1720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64" w:lineRule="auto"/>
      <w:contextualSpacing/>
    </w:pPr>
    <w:rPr>
      <w:rFonts w:cstheme="majorBidi" w:ascii="Arial" w:hAnsi="Arial"/>
      <w:b/>
      <w:color w:val="3C36B5"/>
      <w:spacing w:val="5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cstheme="majorBidi" w:ascii="Arial" w:hAnsi="Arial"/>
      <w:i/>
      <w:iCs/>
      <w:color w:val="17203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264" w:lineRule="auto"/>
      <w:contextualSpacing/>
    </w:pPr>
    <w:rPr>
      <w:rFonts w:ascii="Arial" w:hAnsi="Arial"/>
      <w:color w:val="1720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Onboarding Redesign</dc:title>
  <dc:subject>Two-page services proposal with deliverables, exclusions, pricing and acceptance</dc:subject>
  <dc:creator>Dazzler / Jon Gosier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